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CA" w:rsidRPr="00AB1FCA" w:rsidRDefault="00AB1FCA" w:rsidP="00AB1FCA">
      <w:pPr>
        <w:spacing w:before="561" w:after="561" w:line="240" w:lineRule="auto"/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Comic Sans MS" w:eastAsia="Times New Roman" w:hAnsi="Comic Sans MS" w:cs="Times New Roman"/>
          <w:b/>
          <w:bCs/>
          <w:noProof/>
          <w:color w:val="000000" w:themeColor="text1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-1037590</wp:posOffset>
            </wp:positionH>
            <wp:positionV relativeFrom="paragraph">
              <wp:posOffset>-601345</wp:posOffset>
            </wp:positionV>
            <wp:extent cx="7450455" cy="3657600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CA" w:rsidRPr="00AB1FCA" w:rsidRDefault="00AB1FCA" w:rsidP="00AB1FCA">
      <w:pPr>
        <w:spacing w:before="561" w:after="561" w:line="240" w:lineRule="auto"/>
        <w:jc w:val="center"/>
        <w:rPr>
          <w:rFonts w:ascii="Comic Sans MS" w:eastAsia="Times New Roman" w:hAnsi="Comic Sans MS" w:cs="Times New Roman"/>
          <w:color w:val="CC0066"/>
          <w:sz w:val="36"/>
          <w:szCs w:val="36"/>
          <w:lang w:eastAsia="ru-RU"/>
        </w:rPr>
      </w:pPr>
      <w:r w:rsidRPr="00AB1FCA">
        <w:rPr>
          <w:rFonts w:ascii="Comic Sans MS" w:eastAsia="Times New Roman" w:hAnsi="Comic Sans MS" w:cs="Times New Roman"/>
          <w:b/>
          <w:bCs/>
          <w:color w:val="CC0066"/>
          <w:sz w:val="36"/>
          <w:szCs w:val="36"/>
          <w:u w:val="single"/>
          <w:lang w:eastAsia="ru-RU"/>
        </w:rPr>
        <w:t>ПРАВИЛА</w:t>
      </w:r>
      <w:r w:rsidRPr="00AB1FCA">
        <w:rPr>
          <w:rFonts w:ascii="Comic Sans MS" w:eastAsia="Times New Roman" w:hAnsi="Comic Sans MS" w:cs="Times New Roman"/>
          <w:color w:val="CC0066"/>
          <w:sz w:val="36"/>
          <w:szCs w:val="36"/>
          <w:lang w:eastAsia="ru-RU"/>
        </w:rPr>
        <w:t>  </w:t>
      </w:r>
      <w:r w:rsidRPr="00AB1FCA">
        <w:rPr>
          <w:rFonts w:ascii="Comic Sans MS" w:eastAsia="Times New Roman" w:hAnsi="Comic Sans MS" w:cs="Times New Roman"/>
          <w:b/>
          <w:bCs/>
          <w:color w:val="CC0066"/>
          <w:sz w:val="36"/>
          <w:szCs w:val="36"/>
          <w:u w:val="single"/>
          <w:lang w:eastAsia="ru-RU"/>
        </w:rPr>
        <w:t>БЕЗОПАСНОСТИ ПРИ ОБРАЩЕНИИ С ПИРОТЕХНИКОЙ</w:t>
      </w:r>
    </w:p>
    <w:p w:rsidR="00AB1FCA" w:rsidRPr="00AB1FCA" w:rsidRDefault="00AB1FCA" w:rsidP="00AB1FCA">
      <w:pPr>
        <w:spacing w:before="561" w:after="56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t xml:space="preserve">     </w:t>
      </w: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AB1FCA" w:rsidRPr="00AB1FCA" w:rsidRDefault="00AB1FCA" w:rsidP="00AB1FCA">
      <w:pPr>
        <w:spacing w:before="561" w:after="561" w:line="240" w:lineRule="auto"/>
        <w:jc w:val="center"/>
        <w:rPr>
          <w:rFonts w:ascii="Comic Sans MS" w:eastAsia="Times New Roman" w:hAnsi="Comic Sans MS" w:cs="Times New Roman"/>
          <w:color w:val="CC0066"/>
          <w:sz w:val="32"/>
          <w:szCs w:val="32"/>
          <w:lang w:eastAsia="ru-RU"/>
        </w:rPr>
      </w:pPr>
      <w:r w:rsidRPr="00AB1FCA">
        <w:rPr>
          <w:rFonts w:ascii="Comic Sans MS" w:eastAsia="Times New Roman" w:hAnsi="Comic Sans MS" w:cs="Times New Roman"/>
          <w:b/>
          <w:bCs/>
          <w:color w:val="CC0066"/>
          <w:sz w:val="32"/>
          <w:szCs w:val="32"/>
          <w:u w:val="single"/>
          <w:lang w:eastAsia="ru-RU"/>
        </w:rPr>
        <w:t>При покупке пиротехники помните:</w:t>
      </w:r>
    </w:p>
    <w:p w:rsidR="00AB1FCA" w:rsidRPr="00AB1FCA" w:rsidRDefault="00AB1FCA" w:rsidP="00AB1FCA">
      <w:pPr>
        <w:numPr>
          <w:ilvl w:val="0"/>
          <w:numId w:val="1"/>
        </w:numPr>
        <w:spacing w:before="100" w:beforeAutospacing="1" w:after="187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AB1FCA" w:rsidRPr="00AB1FCA" w:rsidRDefault="00AB1FCA" w:rsidP="00AB1FCA">
      <w:pPr>
        <w:numPr>
          <w:ilvl w:val="0"/>
          <w:numId w:val="1"/>
        </w:numPr>
        <w:spacing w:before="100" w:beforeAutospacing="1" w:after="187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AB1FCA" w:rsidRPr="00AB1FCA" w:rsidRDefault="00AB1FCA" w:rsidP="00AB1FCA">
      <w:pPr>
        <w:numPr>
          <w:ilvl w:val="0"/>
          <w:numId w:val="1"/>
        </w:numPr>
        <w:spacing w:before="100" w:beforeAutospacing="1" w:after="187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AB1FCA" w:rsidRPr="00AB1FCA" w:rsidRDefault="00AB1FCA" w:rsidP="00AB1FCA">
      <w:pPr>
        <w:numPr>
          <w:ilvl w:val="0"/>
          <w:numId w:val="1"/>
        </w:numPr>
        <w:spacing w:before="100" w:beforeAutospacing="1" w:after="187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AB1FCA" w:rsidRPr="00AB1FCA" w:rsidRDefault="00AB1FCA" w:rsidP="00AB1FCA">
      <w:pPr>
        <w:numPr>
          <w:ilvl w:val="0"/>
          <w:numId w:val="1"/>
        </w:numPr>
        <w:spacing w:before="100" w:beforeAutospacing="1" w:after="187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"1</w:t>
      </w:r>
      <w:r w:rsidRPr="00AB1FCA">
        <w:rPr>
          <w:rFonts w:ascii="Comic Sans MS" w:eastAsia="Times New Roman" w:hAnsi="Comic Sans MS" w:cs="Times New Roman"/>
          <w:bCs/>
          <w:sz w:val="28"/>
          <w:szCs w:val="28"/>
          <w:lang w:eastAsia="ru-RU"/>
        </w:rPr>
        <w:t>01</w:t>
      </w:r>
      <w:r w:rsidRPr="00AB1FCA">
        <w:rPr>
          <w:rFonts w:ascii="Comic Sans MS" w:eastAsia="Times New Roman" w:hAnsi="Comic Sans MS" w:cs="Times New Roman"/>
          <w:sz w:val="28"/>
          <w:szCs w:val="28"/>
          <w:lang w:eastAsia="ru-RU"/>
        </w:rPr>
        <w:t>".</w:t>
      </w:r>
    </w:p>
    <w:p w:rsidR="00AB1FCA" w:rsidRDefault="00AB1FCA" w:rsidP="00AB1FCA">
      <w:pPr>
        <w:spacing w:before="100" w:beforeAutospacing="1" w:after="187" w:line="240" w:lineRule="auto"/>
        <w:ind w:left="360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</w:p>
    <w:p w:rsidR="00AB1FCA" w:rsidRPr="00AB1FCA" w:rsidRDefault="00AB1FCA" w:rsidP="00AB1FCA">
      <w:pPr>
        <w:spacing w:before="100" w:beforeAutospacing="1" w:after="187" w:line="240" w:lineRule="auto"/>
        <w:ind w:left="360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-1037334</wp:posOffset>
            </wp:positionH>
            <wp:positionV relativeFrom="paragraph">
              <wp:posOffset>-601337</wp:posOffset>
            </wp:positionV>
            <wp:extent cx="7450529" cy="3657600"/>
            <wp:effectExtent l="19050" t="0" r="0" b="0"/>
            <wp:wrapNone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52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CA" w:rsidRPr="00AB1FCA" w:rsidRDefault="00AB1FCA" w:rsidP="00AB1FCA">
      <w:pPr>
        <w:spacing w:before="561" w:after="561" w:line="240" w:lineRule="auto"/>
        <w:jc w:val="center"/>
        <w:rPr>
          <w:rFonts w:ascii="Comic Sans MS" w:eastAsia="Times New Roman" w:hAnsi="Comic Sans MS" w:cs="Arial"/>
          <w:color w:val="CC0066"/>
          <w:sz w:val="32"/>
          <w:szCs w:val="32"/>
          <w:lang w:eastAsia="ru-RU"/>
        </w:rPr>
      </w:pPr>
      <w:r w:rsidRPr="00AB1FCA">
        <w:rPr>
          <w:rFonts w:ascii="Comic Sans MS" w:eastAsia="Times New Roman" w:hAnsi="Comic Sans MS" w:cs="Arial"/>
          <w:b/>
          <w:bCs/>
          <w:color w:val="CC0066"/>
          <w:sz w:val="32"/>
          <w:szCs w:val="32"/>
          <w:u w:val="single"/>
          <w:lang w:eastAsia="ru-RU"/>
        </w:rPr>
        <w:t>При эксплуатации пиротехнических изделий категорически запрещается:</w:t>
      </w:r>
      <w:r w:rsidRPr="00AB1FCA">
        <w:rPr>
          <w:rFonts w:ascii="Comic Sans MS" w:eastAsia="Times New Roman" w:hAnsi="Comic Sans MS" w:cs="Arial"/>
          <w:color w:val="000000" w:themeColor="text1"/>
          <w:sz w:val="24"/>
          <w:szCs w:val="24"/>
          <w:lang w:eastAsia="ru-RU"/>
        </w:rPr>
        <w:t> 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Ронять или бросать фейерверки;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Хранить фейерверки без упаковки;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Носить взрывоопасные вещества в кармане или еще ближе к телу;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Применять пиротехнику при ветре более 5 м/</w:t>
      </w:r>
      <w:proofErr w:type="gramStart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с</w:t>
      </w:r>
      <w:proofErr w:type="gramEnd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 xml:space="preserve">Взрывать пиротехнику, когда в опасной зоне  находятся люди, животные, горючие материалы, деревья, здания, жилые постройки, провода </w:t>
      </w:r>
      <w:proofErr w:type="spellStart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электронапряжения</w:t>
      </w:r>
      <w:proofErr w:type="spellEnd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2 минут после их </w:t>
      </w:r>
      <w:proofErr w:type="spellStart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задействования</w:t>
      </w:r>
      <w:proofErr w:type="spellEnd"/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Наклоняться над изделием во время его использования;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Использовать изделия с истекшим сроком годности, с видимыми повреждениями;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AB1FCA" w:rsidRPr="00AB1FCA" w:rsidRDefault="00AB1FCA" w:rsidP="00AB1FCA">
      <w:p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</w:p>
    <w:p w:rsidR="00AB1FCA" w:rsidRPr="00AB1FCA" w:rsidRDefault="00AB1FCA" w:rsidP="00AB1FCA">
      <w:p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-1037590</wp:posOffset>
            </wp:positionH>
            <wp:positionV relativeFrom="paragraph">
              <wp:posOffset>-601345</wp:posOffset>
            </wp:positionV>
            <wp:extent cx="7450455" cy="3657600"/>
            <wp:effectExtent l="19050" t="0" r="0" b="0"/>
            <wp:wrapNone/>
            <wp:docPr id="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CA" w:rsidRPr="00AB1FCA" w:rsidRDefault="00AB1FCA" w:rsidP="00AB1FCA">
      <w:pPr>
        <w:tabs>
          <w:tab w:val="left" w:pos="1216"/>
        </w:tabs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Продавать несовершеннолетним пиротехнические изделия;</w:t>
      </w:r>
    </w:p>
    <w:p w:rsidR="00AB1FCA" w:rsidRPr="00AB1FCA" w:rsidRDefault="00AB1FCA" w:rsidP="00AB1FCA">
      <w:pPr>
        <w:numPr>
          <w:ilvl w:val="0"/>
          <w:numId w:val="2"/>
        </w:numPr>
        <w:spacing w:before="100" w:beforeAutospacing="1" w:after="187" w:line="240" w:lineRule="auto"/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</w:pPr>
      <w:r w:rsidRPr="00AB1FCA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AB1FCA" w:rsidRDefault="00AB1FCA">
      <w:pPr>
        <w:rPr>
          <w:rFonts w:ascii="Comic Sans MS" w:hAnsi="Comic Sans MS"/>
          <w:color w:val="000000" w:themeColor="text1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Pr="00AB1FCA" w:rsidRDefault="00AB1FCA" w:rsidP="00AB1FCA">
      <w:pPr>
        <w:rPr>
          <w:rFonts w:ascii="Comic Sans MS" w:hAnsi="Comic Sans MS"/>
          <w:sz w:val="28"/>
          <w:szCs w:val="28"/>
        </w:rPr>
      </w:pPr>
    </w:p>
    <w:p w:rsidR="00AB1FCA" w:rsidRDefault="00AB1FCA" w:rsidP="00AB1FCA">
      <w:pPr>
        <w:tabs>
          <w:tab w:val="left" w:pos="665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AB1FCA" w:rsidRDefault="00AB1FCA" w:rsidP="00AB1FCA">
      <w:pPr>
        <w:tabs>
          <w:tab w:val="left" w:pos="6658"/>
        </w:tabs>
        <w:rPr>
          <w:rFonts w:ascii="Comic Sans MS" w:hAnsi="Comic Sans MS"/>
          <w:sz w:val="28"/>
          <w:szCs w:val="28"/>
        </w:rPr>
      </w:pPr>
    </w:p>
    <w:p w:rsidR="00AB1FCA" w:rsidRDefault="00AB1FCA" w:rsidP="00AB1FCA">
      <w:pPr>
        <w:tabs>
          <w:tab w:val="left" w:pos="6658"/>
        </w:tabs>
        <w:rPr>
          <w:rFonts w:ascii="Comic Sans MS" w:hAnsi="Comic Sans MS"/>
          <w:sz w:val="28"/>
          <w:szCs w:val="28"/>
        </w:rPr>
      </w:pPr>
    </w:p>
    <w:p w:rsidR="00AB1FCA" w:rsidRDefault="00AB1FCA" w:rsidP="00AB1FCA">
      <w:pPr>
        <w:tabs>
          <w:tab w:val="left" w:pos="6658"/>
        </w:tabs>
        <w:rPr>
          <w:rFonts w:ascii="Comic Sans MS" w:hAnsi="Comic Sans MS"/>
          <w:sz w:val="28"/>
          <w:szCs w:val="28"/>
        </w:rPr>
        <w:sectPr w:rsidR="00AB1FCA" w:rsidSect="00AB1FCA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AB1FCA" w:rsidRDefault="00AB1FCA" w:rsidP="00AB1FCA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-421005</wp:posOffset>
            </wp:positionV>
            <wp:extent cx="10601960" cy="7089140"/>
            <wp:effectExtent l="19050" t="0" r="8890" b="0"/>
            <wp:wrapTight wrapText="bothSides">
              <wp:wrapPolygon edited="0">
                <wp:start x="155" y="0"/>
                <wp:lineTo x="-39" y="406"/>
                <wp:lineTo x="-39" y="21360"/>
                <wp:lineTo x="116" y="21534"/>
                <wp:lineTo x="155" y="21534"/>
                <wp:lineTo x="21424" y="21534"/>
                <wp:lineTo x="21463" y="21534"/>
                <wp:lineTo x="21618" y="21418"/>
                <wp:lineTo x="21618" y="406"/>
                <wp:lineTo x="21540" y="58"/>
                <wp:lineTo x="21424" y="0"/>
                <wp:lineTo x="155" y="0"/>
              </wp:wrapPolygon>
            </wp:wrapTight>
            <wp:docPr id="7" name="Рисунок 7" descr="C:\Users\Эльдар\Pictures\25e263d9-3e23-579d-8f1a-28b0c6f57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льдар\Pictures\25e263d9-3e23-579d-8f1a-28b0c6f57a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960" cy="7089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B1FCA" w:rsidRPr="00C43541" w:rsidRDefault="00C43541" w:rsidP="00C43541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-520700</wp:posOffset>
            </wp:positionV>
            <wp:extent cx="10600055" cy="7470775"/>
            <wp:effectExtent l="19050" t="19050" r="10795" b="15875"/>
            <wp:wrapTight wrapText="bothSides">
              <wp:wrapPolygon edited="0">
                <wp:start x="-39" y="-55"/>
                <wp:lineTo x="-39" y="21646"/>
                <wp:lineTo x="21622" y="21646"/>
                <wp:lineTo x="21622" y="-55"/>
                <wp:lineTo x="-39" y="-55"/>
              </wp:wrapPolygon>
            </wp:wrapTight>
            <wp:docPr id="13" name="Рисунок 13" descr="C:\Users\Эльдар\Pictures\660319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Эльдар\Pictures\6603193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055" cy="747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1FCA" w:rsidRPr="00C43541" w:rsidSect="00AB1FCA">
      <w:pgSz w:w="16838" w:h="11906" w:orient="landscape"/>
      <w:pgMar w:top="850" w:right="28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A12"/>
    <w:multiLevelType w:val="multilevel"/>
    <w:tmpl w:val="A54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C2686"/>
    <w:multiLevelType w:val="multilevel"/>
    <w:tmpl w:val="59E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FCA"/>
    <w:rsid w:val="00AB1FCA"/>
    <w:rsid w:val="00C43541"/>
    <w:rsid w:val="00F8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F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2</cp:revision>
  <dcterms:created xsi:type="dcterms:W3CDTF">2024-12-25T10:12:00Z</dcterms:created>
  <dcterms:modified xsi:type="dcterms:W3CDTF">2024-12-25T10:12:00Z</dcterms:modified>
</cp:coreProperties>
</file>